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FA1C1" w14:textId="0EAFC260" w:rsidR="00FE067E" w:rsidRPr="00AA3BCA" w:rsidRDefault="00CD36CF" w:rsidP="00A527AD">
      <w:pPr>
        <w:pStyle w:val="TitlePageOrigin"/>
        <w:rPr>
          <w:color w:val="auto"/>
        </w:rPr>
      </w:pPr>
      <w:r w:rsidRPr="00AA3BCA">
        <w:rPr>
          <w:color w:val="auto"/>
        </w:rPr>
        <w:t xml:space="preserve">WEST virginia </w:t>
      </w:r>
      <w:r w:rsidR="001F3340" w:rsidRPr="00AA3BCA">
        <w:rPr>
          <w:color w:val="auto"/>
        </w:rPr>
        <w:t>Legislature</w:t>
      </w:r>
    </w:p>
    <w:p w14:paraId="0A4D5BE8" w14:textId="2AC8C29B" w:rsidR="00CD36CF" w:rsidRPr="00AA3BCA" w:rsidRDefault="00CD36CF" w:rsidP="00CD36CF">
      <w:pPr>
        <w:pStyle w:val="TitlePageSession"/>
        <w:rPr>
          <w:color w:val="auto"/>
        </w:rPr>
      </w:pPr>
      <w:r w:rsidRPr="00AA3BCA">
        <w:rPr>
          <w:color w:val="auto"/>
        </w:rPr>
        <w:t>20</w:t>
      </w:r>
      <w:r w:rsidR="00D41A17" w:rsidRPr="00AA3BCA">
        <w:rPr>
          <w:color w:val="auto"/>
        </w:rPr>
        <w:t>2</w:t>
      </w:r>
      <w:r w:rsidRPr="00AA3BCA">
        <w:rPr>
          <w:color w:val="auto"/>
        </w:rPr>
        <w:t>1 regular session</w:t>
      </w:r>
    </w:p>
    <w:p w14:paraId="54CB913F" w14:textId="2A5B9464" w:rsidR="00CD36CF" w:rsidRPr="00AA3BCA" w:rsidRDefault="00D41A17" w:rsidP="00CD36CF">
      <w:pPr>
        <w:pStyle w:val="TitlePageBillPrefix"/>
        <w:rPr>
          <w:color w:val="auto"/>
        </w:rPr>
      </w:pPr>
      <w:r w:rsidRPr="00AA3BCA">
        <w:rPr>
          <w:noProof/>
          <w:color w:val="auto"/>
        </w:rPr>
        <mc:AlternateContent>
          <mc:Choice Requires="wps">
            <w:drawing>
              <wp:anchor distT="0" distB="0" distL="114300" distR="114300" simplePos="0" relativeHeight="251659264" behindDoc="0" locked="0" layoutInCell="1" allowOverlap="1" wp14:anchorId="26236741" wp14:editId="612571C1">
                <wp:simplePos x="0" y="0"/>
                <wp:positionH relativeFrom="column">
                  <wp:posOffset>13498195</wp:posOffset>
                </wp:positionH>
                <wp:positionV relativeFrom="paragraph">
                  <wp:posOffset>3026410</wp:posOffset>
                </wp:positionV>
                <wp:extent cx="124696" cy="357188"/>
                <wp:effectExtent l="0" t="0" r="27940" b="24130"/>
                <wp:wrapNone/>
                <wp:docPr id="1" name="Fiscal"/>
                <wp:cNvGraphicFramePr/>
                <a:graphic xmlns:a="http://schemas.openxmlformats.org/drawingml/2006/main">
                  <a:graphicData uri="http://schemas.microsoft.com/office/word/2010/wordprocessingShape">
                    <wps:wsp>
                      <wps:cNvSpPr txBox="1"/>
                      <wps:spPr>
                        <a:xfrm>
                          <a:off x="0" y="0"/>
                          <a:ext cx="124696" cy="357188"/>
                        </a:xfrm>
                        <a:prstGeom prst="rect">
                          <a:avLst/>
                        </a:prstGeom>
                        <a:noFill/>
                        <a:ln w="6350">
                          <a:solidFill>
                            <a:prstClr val="black"/>
                          </a:solidFill>
                        </a:ln>
                      </wps:spPr>
                      <wps:txbx>
                        <w:txbxContent>
                          <w:p w14:paraId="7E1F4F88" w14:textId="4884B542" w:rsidR="008A6A8A" w:rsidRPr="00380968" w:rsidRDefault="00380968" w:rsidP="00380968">
                            <w:pPr>
                              <w:spacing w:line="240" w:lineRule="auto"/>
                              <w:jc w:val="center"/>
                              <w:rPr>
                                <w:rFonts w:cs="Arial"/>
                              </w:rPr>
                            </w:pPr>
                            <w:r w:rsidRPr="00380968">
                              <w:rPr>
                                <w:rFonts w:cs="Arial"/>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36741" id="_x0000_t202" coordsize="21600,21600" o:spt="202" path="m,l,21600r21600,l21600,xe">
                <v:stroke joinstyle="miter"/>
                <v:path gradientshapeok="t" o:connecttype="rect"/>
              </v:shapetype>
              <v:shape id="Fiscal" o:spid="_x0000_s1026" type="#_x0000_t202" style="position:absolute;left:0;text-align:left;margin-left:1062.85pt;margin-top:238.3pt;width:9.8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" filled="f" strokeweight=".5pt">
                <v:textbox inset="0,5pt,0,0">
                  <w:txbxContent>
                    <w:p w14:paraId="7E1F4F88" w14:textId="4884B542" w:rsidR="008A6A8A" w:rsidRPr="00380968" w:rsidRDefault="00380968" w:rsidP="00380968">
                      <w:pPr>
                        <w:spacing w:line="240" w:lineRule="auto"/>
                        <w:jc w:val="center"/>
                        <w:rPr>
                          <w:rFonts w:cs="Arial"/>
                        </w:rPr>
                      </w:pPr>
                      <w:r w:rsidRPr="00380968">
                        <w:rPr>
                          <w:rFonts w:cs="Arial"/>
                        </w:rPr>
                        <w:t>FISCAL NOTE</w:t>
                      </w:r>
                    </w:p>
                  </w:txbxContent>
                </v:textbox>
              </v:shape>
            </w:pict>
          </mc:Fallback>
        </mc:AlternateContent>
      </w:r>
      <w:sdt>
        <w:sdtPr>
          <w:rPr>
            <w:color w:val="auto"/>
          </w:rPr>
          <w:tag w:val="IntroDate"/>
          <w:id w:val="-1236936958"/>
          <w:placeholder>
            <w:docPart w:val="262077F1CEAC43F0B63A2D80B7EB781D"/>
          </w:placeholder>
          <w:text/>
        </w:sdtPr>
        <w:sdtEndPr/>
        <w:sdtContent>
          <w:r w:rsidR="00AE48A0" w:rsidRPr="00AA3BCA">
            <w:rPr>
              <w:color w:val="auto"/>
            </w:rPr>
            <w:t>Introduced</w:t>
          </w:r>
        </w:sdtContent>
      </w:sdt>
    </w:p>
    <w:p w14:paraId="2090000C" w14:textId="1BED599F" w:rsidR="00CD36CF" w:rsidRPr="00AA3BCA" w:rsidRDefault="00525A4A" w:rsidP="00E831B3">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8104E6" w:rsidRPr="00AA3BCA">
            <w:rPr>
              <w:color w:val="auto"/>
            </w:rPr>
            <w:t>Senate</w:t>
          </w:r>
        </w:sdtContent>
      </w:sdt>
      <w:r w:rsidR="00303684" w:rsidRPr="00AA3BCA">
        <w:rPr>
          <w:color w:val="auto"/>
        </w:rPr>
        <w:t xml:space="preserve"> </w:t>
      </w:r>
      <w:r w:rsidR="00CD36CF" w:rsidRPr="00AA3BCA">
        <w:rPr>
          <w:color w:val="auto"/>
        </w:rPr>
        <w:t xml:space="preserve">Bill </w:t>
      </w:r>
      <w:sdt>
        <w:sdtPr>
          <w:rPr>
            <w:color w:val="auto"/>
          </w:rPr>
          <w:tag w:val="BNum"/>
          <w:id w:val="1645317809"/>
          <w:lock w:val="sdtLocked"/>
          <w:placeholder>
            <w:docPart w:val="E1E2AC8F52414CB7A8CAC9336975C0A5"/>
          </w:placeholder>
          <w:text/>
        </w:sdtPr>
        <w:sdtEndPr/>
        <w:sdtContent>
          <w:r w:rsidR="00DE7152">
            <w:rPr>
              <w:color w:val="auto"/>
            </w:rPr>
            <w:t>16</w:t>
          </w:r>
        </w:sdtContent>
      </w:sdt>
    </w:p>
    <w:p w14:paraId="663C064C" w14:textId="2940A253" w:rsidR="00380968" w:rsidRDefault="00380968" w:rsidP="008104E6">
      <w:pPr>
        <w:pStyle w:val="References"/>
        <w:rPr>
          <w:smallCaps/>
        </w:rPr>
      </w:pPr>
      <w:r>
        <w:rPr>
          <w:smallCaps/>
        </w:rPr>
        <w:t>By Senator</w:t>
      </w:r>
      <w:r w:rsidR="00326C3E">
        <w:rPr>
          <w:smallCaps/>
        </w:rPr>
        <w:t>s</w:t>
      </w:r>
      <w:r>
        <w:rPr>
          <w:smallCaps/>
        </w:rPr>
        <w:t xml:space="preserve"> Romano</w:t>
      </w:r>
      <w:r w:rsidR="00CE7447">
        <w:rPr>
          <w:smallCaps/>
        </w:rPr>
        <w:t>,</w:t>
      </w:r>
      <w:r w:rsidR="00326C3E">
        <w:rPr>
          <w:smallCaps/>
        </w:rPr>
        <w:t xml:space="preserve"> Caputo</w:t>
      </w:r>
      <w:r w:rsidR="00CE7447">
        <w:rPr>
          <w:smallCaps/>
        </w:rPr>
        <w:t>, Weld, Baldwin, Jeffries, Lindsay</w:t>
      </w:r>
      <w:r w:rsidR="007C7E8A" w:rsidRPr="007C7E8A">
        <w:rPr>
          <w:smallCaps/>
        </w:rPr>
        <w:t>, Takubo</w:t>
      </w:r>
      <w:r w:rsidR="00BE446B">
        <w:rPr>
          <w:smallCaps/>
        </w:rPr>
        <w:t>, Maroney</w:t>
      </w:r>
      <w:r w:rsidR="00BC603D">
        <w:rPr>
          <w:smallCaps/>
        </w:rPr>
        <w:t>, and Hamilton</w:t>
      </w:r>
    </w:p>
    <w:p w14:paraId="0C9D3F50" w14:textId="209CEF75" w:rsidR="008104E6" w:rsidRPr="00AA3BCA" w:rsidRDefault="008104E6" w:rsidP="008104E6">
      <w:pPr>
        <w:pStyle w:val="References"/>
        <w:rPr>
          <w:sz w:val="24"/>
        </w:rPr>
      </w:pPr>
      <w:r w:rsidRPr="00AA3BCA">
        <w:rPr>
          <w:sz w:val="24"/>
        </w:rPr>
        <w:t>[</w:t>
      </w:r>
      <w:sdt>
        <w:sdtPr>
          <w:rPr>
            <w:rFonts w:cs="Times New Roman"/>
            <w:szCs w:val="24"/>
          </w:rPr>
          <w:id w:val="2076695334"/>
          <w:placeholder>
            <w:docPart w:val="7B0C0CC38BCA4F26AF5B478B50E7AA5E"/>
          </w:placeholder>
          <w:text w:multiLine="1"/>
        </w:sdtPr>
        <w:sdtEndPr/>
        <w:sdtContent>
          <w:r w:rsidR="00380968" w:rsidRPr="00380968">
            <w:rPr>
              <w:rFonts w:cs="Times New Roman"/>
              <w:szCs w:val="24"/>
            </w:rPr>
            <w:t>Introduced February 10, 2021; referred</w:t>
          </w:r>
          <w:r w:rsidR="00380968" w:rsidRPr="00380968">
            <w:rPr>
              <w:rFonts w:cs="Times New Roman"/>
              <w:szCs w:val="24"/>
            </w:rPr>
            <w:br/>
            <w:t>to the Committee on</w:t>
          </w:r>
          <w:r w:rsidR="00F14886">
            <w:rPr>
              <w:rFonts w:cs="Times New Roman"/>
              <w:szCs w:val="24"/>
            </w:rPr>
            <w:t xml:space="preserve"> Military; and then to the Committee on Finance</w:t>
          </w:r>
        </w:sdtContent>
      </w:sdt>
      <w:r w:rsidRPr="00AA3BCA">
        <w:rPr>
          <w:sz w:val="24"/>
        </w:rPr>
        <w:t>]</w:t>
      </w:r>
    </w:p>
    <w:p w14:paraId="4F5E7DE3" w14:textId="0792A5C0" w:rsidR="00CD36CF" w:rsidRPr="00AA3BCA" w:rsidRDefault="00CD36CF" w:rsidP="00CD36CF">
      <w:pPr>
        <w:pStyle w:val="Sponsors"/>
        <w:rPr>
          <w:color w:val="auto"/>
        </w:rPr>
      </w:pPr>
    </w:p>
    <w:p w14:paraId="11FCE324" w14:textId="5E7056F2" w:rsidR="008104E6" w:rsidRPr="00AA3BCA" w:rsidRDefault="008104E6" w:rsidP="008104E6">
      <w:pPr>
        <w:pStyle w:val="TitleSection"/>
        <w:rPr>
          <w:color w:val="auto"/>
        </w:rPr>
      </w:pPr>
      <w:r w:rsidRPr="00AA3BCA">
        <w:rPr>
          <w:color w:val="auto"/>
        </w:rPr>
        <w:lastRenderedPageBreak/>
        <w:t xml:space="preserve">A BILL to amend the Code of West Virginia, 1931, as amended, by adding thereto a new article, designated </w:t>
      </w:r>
      <w:r w:rsidRPr="00AA3BCA">
        <w:rPr>
          <w:rFonts w:cs="Arial"/>
          <w:color w:val="auto"/>
        </w:rPr>
        <w:t>§9-11-</w:t>
      </w:r>
      <w:r w:rsidRPr="00AA3BCA">
        <w:rPr>
          <w:color w:val="auto"/>
        </w:rPr>
        <w:t xml:space="preserve">1 and </w:t>
      </w:r>
      <w:r w:rsidRPr="00AA3BCA">
        <w:rPr>
          <w:rFonts w:cs="Arial"/>
          <w:color w:val="auto"/>
        </w:rPr>
        <w:t>§9</w:t>
      </w:r>
      <w:r w:rsidRPr="00AA3BCA">
        <w:rPr>
          <w:color w:val="auto"/>
        </w:rPr>
        <w:t>-11-2, all relating to providing continued eligibility for developmental disability services to dependents of military service members; defining terms; establishing dependents retention of rights for developmental disability services provided conditions are met; providing dependents be placed on waiting list for services; establishing a process to reestablish services for dependent upon return to state; prohibiting payment for services rendered outside state; and providing for rulemaking.</w:t>
      </w:r>
    </w:p>
    <w:p w14:paraId="2DA2A091" w14:textId="77777777" w:rsidR="008104E6" w:rsidRPr="00AA3BCA" w:rsidRDefault="008104E6" w:rsidP="008104E6">
      <w:pPr>
        <w:pStyle w:val="EnactingClause"/>
        <w:rPr>
          <w:color w:val="auto"/>
        </w:rPr>
        <w:sectPr w:rsidR="008104E6" w:rsidRPr="00AA3BCA" w:rsidSect="0039539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A3BCA">
        <w:rPr>
          <w:color w:val="auto"/>
        </w:rPr>
        <w:t>Be it enacted by the Legislature of West Virginia:</w:t>
      </w:r>
    </w:p>
    <w:p w14:paraId="52F6A5E7" w14:textId="77777777" w:rsidR="008104E6" w:rsidRPr="00AA3BCA" w:rsidRDefault="008104E6" w:rsidP="008104E6">
      <w:pPr>
        <w:suppressLineNumbers/>
        <w:ind w:left="720" w:hanging="720"/>
        <w:jc w:val="both"/>
        <w:outlineLvl w:val="1"/>
        <w:rPr>
          <w:rFonts w:cs="Arial"/>
          <w:b/>
          <w:color w:val="auto"/>
          <w:sz w:val="24"/>
          <w:u w:val="single"/>
        </w:rPr>
      </w:pPr>
      <w:r w:rsidRPr="00AA3BCA">
        <w:rPr>
          <w:rFonts w:cs="Arial"/>
          <w:b/>
          <w:color w:val="auto"/>
          <w:sz w:val="24"/>
          <w:u w:val="single"/>
        </w:rPr>
        <w:t>ARTICLE 11.  CONTINUED ELIGIBILITY FOR DEVELOPMENTAL DISABILITY SERVICES FOR DEPENDENTS OF MILITARY SERVICE MEMBERS.</w:t>
      </w:r>
    </w:p>
    <w:p w14:paraId="5B4776D8" w14:textId="77777777" w:rsidR="008104E6" w:rsidRPr="00AA3BCA" w:rsidRDefault="008104E6" w:rsidP="008104E6">
      <w:pPr>
        <w:pStyle w:val="SectionHeading"/>
        <w:rPr>
          <w:color w:val="auto"/>
          <w:u w:val="single"/>
        </w:rPr>
        <w:sectPr w:rsidR="008104E6" w:rsidRPr="00AA3BCA" w:rsidSect="00395397">
          <w:type w:val="continuous"/>
          <w:pgSz w:w="12240" w:h="15840" w:code="1"/>
          <w:pgMar w:top="1440" w:right="1440" w:bottom="1440" w:left="1440" w:header="720" w:footer="720" w:gutter="0"/>
          <w:lnNumType w:countBy="1" w:restart="newSection"/>
          <w:cols w:space="720"/>
          <w:titlePg/>
          <w:docGrid w:linePitch="360"/>
        </w:sectPr>
      </w:pPr>
      <w:r w:rsidRPr="00AA3BCA">
        <w:rPr>
          <w:rFonts w:cs="Arial"/>
          <w:color w:val="auto"/>
          <w:u w:val="single"/>
        </w:rPr>
        <w:t>§9-11-</w:t>
      </w:r>
      <w:r w:rsidRPr="00AA3BCA">
        <w:rPr>
          <w:color w:val="auto"/>
          <w:u w:val="single"/>
        </w:rPr>
        <w:t>1. Definitions.</w:t>
      </w:r>
    </w:p>
    <w:p w14:paraId="5FA713D5" w14:textId="77777777" w:rsidR="008104E6" w:rsidRPr="00AA3BCA" w:rsidRDefault="008104E6" w:rsidP="008104E6">
      <w:pPr>
        <w:pStyle w:val="EnactingSection"/>
        <w:rPr>
          <w:color w:val="auto"/>
          <w:u w:val="single"/>
        </w:rPr>
      </w:pPr>
      <w:r w:rsidRPr="00AA3BCA">
        <w:rPr>
          <w:color w:val="auto"/>
          <w:u w:val="single"/>
        </w:rPr>
        <w:t>As used in this article:</w:t>
      </w:r>
    </w:p>
    <w:p w14:paraId="27B0CAA4" w14:textId="212EC553" w:rsidR="008104E6" w:rsidRPr="00AA3BCA" w:rsidRDefault="008104E6" w:rsidP="008104E6">
      <w:pPr>
        <w:pStyle w:val="EnactingSection"/>
        <w:rPr>
          <w:color w:val="auto"/>
          <w:u w:val="single"/>
        </w:rPr>
      </w:pPr>
      <w:r w:rsidRPr="00AA3BCA">
        <w:rPr>
          <w:color w:val="auto"/>
          <w:u w:val="single"/>
        </w:rPr>
        <w:t>“Dependent” means a spouse, birth child, adopted child, or step</w:t>
      </w:r>
      <w:r w:rsidR="00525A4A">
        <w:rPr>
          <w:color w:val="auto"/>
          <w:u w:val="single"/>
        </w:rPr>
        <w:t>-</w:t>
      </w:r>
      <w:r w:rsidRPr="00AA3BCA">
        <w:rPr>
          <w:color w:val="auto"/>
          <w:u w:val="single"/>
        </w:rPr>
        <w:t xml:space="preserve">child of a military service member. </w:t>
      </w:r>
    </w:p>
    <w:p w14:paraId="445ABD82" w14:textId="77777777" w:rsidR="008104E6" w:rsidRPr="00AA3BCA" w:rsidRDefault="008104E6" w:rsidP="008104E6">
      <w:pPr>
        <w:pStyle w:val="EnactingSection"/>
        <w:rPr>
          <w:color w:val="auto"/>
          <w:u w:val="single"/>
        </w:rPr>
      </w:pPr>
      <w:r w:rsidRPr="00AA3BCA">
        <w:rPr>
          <w:color w:val="auto"/>
          <w:u w:val="single"/>
        </w:rPr>
        <w:t xml:space="preserve">“Legal resident” means a person who maintains West Virginia as his or her principal establishment, home of record, or permanent home and to where, whenever absent due to military obligation, he or she intends to return. </w:t>
      </w:r>
    </w:p>
    <w:p w14:paraId="68250C73" w14:textId="77777777" w:rsidR="008104E6" w:rsidRPr="00AA3BCA" w:rsidRDefault="008104E6" w:rsidP="008104E6">
      <w:pPr>
        <w:pStyle w:val="EnactingSection"/>
        <w:rPr>
          <w:color w:val="auto"/>
          <w:u w:val="single"/>
        </w:rPr>
      </w:pPr>
      <w:r w:rsidRPr="00AA3BCA">
        <w:rPr>
          <w:color w:val="auto"/>
          <w:u w:val="single"/>
        </w:rPr>
        <w:t>“Military service” means service in the armed forces or armed forces reserves of the United States, or membership in the West Virginia National Guard.</w:t>
      </w:r>
    </w:p>
    <w:p w14:paraId="705B8B04" w14:textId="77777777" w:rsidR="008104E6" w:rsidRPr="00AA3BCA" w:rsidRDefault="008104E6" w:rsidP="008104E6">
      <w:pPr>
        <w:pStyle w:val="EnactingSection"/>
        <w:rPr>
          <w:color w:val="auto"/>
          <w:u w:val="single"/>
        </w:rPr>
      </w:pPr>
      <w:r w:rsidRPr="00AA3BCA">
        <w:rPr>
          <w:color w:val="auto"/>
          <w:u w:val="single"/>
        </w:rPr>
        <w:t>“Military service member” means a person who is currently in military service or who has separated from military service in the previous 18 months through either retirement or military separation.</w:t>
      </w:r>
    </w:p>
    <w:p w14:paraId="02F1003C" w14:textId="77777777" w:rsidR="008104E6" w:rsidRPr="00AA3BCA" w:rsidRDefault="008104E6" w:rsidP="008104E6">
      <w:pPr>
        <w:pStyle w:val="SectionHeading"/>
        <w:rPr>
          <w:color w:val="auto"/>
          <w:u w:val="single"/>
        </w:rPr>
        <w:sectPr w:rsidR="008104E6" w:rsidRPr="00AA3BCA" w:rsidSect="00395397">
          <w:type w:val="continuous"/>
          <w:pgSz w:w="12240" w:h="15840" w:code="1"/>
          <w:pgMar w:top="1440" w:right="1440" w:bottom="1440" w:left="1440" w:header="720" w:footer="720" w:gutter="0"/>
          <w:lnNumType w:countBy="1" w:restart="newSection"/>
          <w:cols w:space="720"/>
          <w:titlePg/>
          <w:docGrid w:linePitch="360"/>
        </w:sectPr>
      </w:pPr>
      <w:r w:rsidRPr="00AA3BCA">
        <w:rPr>
          <w:color w:val="auto"/>
          <w:u w:val="single"/>
        </w:rPr>
        <w:t xml:space="preserve">§9-11-2. Dependent retention of eligibility for services; waiting list; continued eligibility requirements; prohibiting payment for services received outside state; waiver request; rulemaking. </w:t>
      </w:r>
    </w:p>
    <w:p w14:paraId="72A2A0EF" w14:textId="77777777" w:rsidR="008104E6" w:rsidRPr="00AA3BCA" w:rsidRDefault="008104E6" w:rsidP="008104E6">
      <w:pPr>
        <w:pStyle w:val="EnactingSection"/>
        <w:rPr>
          <w:color w:val="auto"/>
          <w:u w:val="single"/>
        </w:rPr>
      </w:pPr>
      <w:r w:rsidRPr="00AA3BCA">
        <w:rPr>
          <w:color w:val="auto"/>
          <w:u w:val="single"/>
        </w:rPr>
        <w:lastRenderedPageBreak/>
        <w:t xml:space="preserve">(a) A dependent, who is a legal resident of the state, having previously been determined to be eligible for developmental disability services provided by the Department of Health and Human Resources (DHHR), including waiver services provided under the Home and Community Based Services programs authorized under Section 1915(c) of the Social Security Act, shall retain eligibility for those developmental disability services as long as he or she remains a legal resident of the state, regardless of having left the state due to the military service member’s military assignment outside the state, and as long as he or she is otherwise eligible for those services. </w:t>
      </w:r>
    </w:p>
    <w:p w14:paraId="6404F84C" w14:textId="77777777" w:rsidR="008104E6" w:rsidRPr="00AA3BCA" w:rsidRDefault="008104E6" w:rsidP="008104E6">
      <w:pPr>
        <w:pStyle w:val="EnactingSection"/>
        <w:rPr>
          <w:color w:val="auto"/>
          <w:u w:val="single"/>
        </w:rPr>
      </w:pPr>
      <w:r w:rsidRPr="00AA3BCA">
        <w:rPr>
          <w:color w:val="auto"/>
          <w:u w:val="single"/>
        </w:rPr>
        <w:t>(b) The DHHR shall permit a dependent who resides out-of-state to be placed on the waiting list for developmental disability services if the dependent left the state due to the military service member’s military assignment outside the state, is otherwise eligible for those services, and furnishes the following:</w:t>
      </w:r>
    </w:p>
    <w:p w14:paraId="2DB655C0" w14:textId="77777777" w:rsidR="008104E6" w:rsidRPr="00AA3BCA" w:rsidRDefault="008104E6" w:rsidP="008104E6">
      <w:pPr>
        <w:pStyle w:val="EnactingSection"/>
        <w:rPr>
          <w:color w:val="auto"/>
          <w:u w:val="single"/>
        </w:rPr>
      </w:pPr>
      <w:r w:rsidRPr="00AA3BCA">
        <w:rPr>
          <w:color w:val="auto"/>
          <w:u w:val="single"/>
        </w:rPr>
        <w:t>(1) A copy of the military service member’s DD-214 or other equivalent discharge paperwork; and</w:t>
      </w:r>
    </w:p>
    <w:p w14:paraId="47046DEF" w14:textId="77777777" w:rsidR="008104E6" w:rsidRPr="00AA3BCA" w:rsidRDefault="008104E6" w:rsidP="008104E6">
      <w:pPr>
        <w:pStyle w:val="EnactingSection"/>
        <w:rPr>
          <w:color w:val="auto"/>
          <w:u w:val="single"/>
        </w:rPr>
      </w:pPr>
      <w:r w:rsidRPr="00AA3BCA">
        <w:rPr>
          <w:color w:val="auto"/>
          <w:u w:val="single"/>
        </w:rPr>
        <w:t xml:space="preserve">(2) Proof of the military service member’s legal residence in the state, as prescribed by the DHHR. </w:t>
      </w:r>
    </w:p>
    <w:p w14:paraId="0FFA32BC" w14:textId="77777777" w:rsidR="008104E6" w:rsidRPr="00AA3BCA" w:rsidRDefault="008104E6" w:rsidP="008104E6">
      <w:pPr>
        <w:pStyle w:val="EnactingSection"/>
        <w:rPr>
          <w:color w:val="auto"/>
          <w:u w:val="single"/>
        </w:rPr>
      </w:pPr>
      <w:r w:rsidRPr="00AA3BCA">
        <w:rPr>
          <w:color w:val="auto"/>
          <w:u w:val="single"/>
        </w:rPr>
        <w:t xml:space="preserve">(c) For dependents who received developmental disability services and who left the state due to the military service member’s military assignment outside the state, upon the dependent’s return to the state, and when a request for services is made, the DHHR shall: </w:t>
      </w:r>
    </w:p>
    <w:p w14:paraId="0C78FFA9" w14:textId="77777777" w:rsidR="008104E6" w:rsidRPr="00AA3BCA" w:rsidRDefault="008104E6" w:rsidP="008104E6">
      <w:pPr>
        <w:pStyle w:val="EnactingSection"/>
        <w:rPr>
          <w:color w:val="auto"/>
          <w:u w:val="single"/>
        </w:rPr>
      </w:pPr>
      <w:r w:rsidRPr="00AA3BCA">
        <w:rPr>
          <w:color w:val="auto"/>
          <w:u w:val="single"/>
        </w:rPr>
        <w:t>(1) Determine the dependent’s eligibility for services, which may include a request for waiver services provided under the Home and Community Based Services programs authorized under Section 1915(c) of the Social Security Act;</w:t>
      </w:r>
    </w:p>
    <w:p w14:paraId="18F4B410" w14:textId="77777777" w:rsidR="008104E6" w:rsidRPr="00AA3BCA" w:rsidRDefault="008104E6" w:rsidP="008104E6">
      <w:pPr>
        <w:pStyle w:val="EnactingSection"/>
        <w:widowControl w:val="0"/>
        <w:rPr>
          <w:color w:val="auto"/>
          <w:u w:val="single"/>
        </w:rPr>
      </w:pPr>
      <w:r w:rsidRPr="00AA3BCA">
        <w:rPr>
          <w:color w:val="auto"/>
          <w:u w:val="single"/>
        </w:rPr>
        <w:t>(2) Provide to the dependent notification of the determination of eligibility for services, which includes notification of a denial of services if applicable;</w:t>
      </w:r>
    </w:p>
    <w:p w14:paraId="7EAC9017" w14:textId="77777777" w:rsidR="008104E6" w:rsidRPr="00AA3BCA" w:rsidRDefault="008104E6" w:rsidP="008104E6">
      <w:pPr>
        <w:pStyle w:val="EnactingSection"/>
        <w:widowControl w:val="0"/>
        <w:rPr>
          <w:color w:val="auto"/>
          <w:u w:val="single"/>
        </w:rPr>
      </w:pPr>
      <w:r w:rsidRPr="00AA3BCA">
        <w:rPr>
          <w:color w:val="auto"/>
          <w:u w:val="single"/>
        </w:rPr>
        <w:t xml:space="preserve">(3) Provide the dependent an opportunity to contest the DHHR’s determination through the appeals processes established by the DHHR; and </w:t>
      </w:r>
    </w:p>
    <w:p w14:paraId="3D20D118" w14:textId="77777777" w:rsidR="008104E6" w:rsidRPr="00AA3BCA" w:rsidRDefault="008104E6" w:rsidP="008104E6">
      <w:pPr>
        <w:pStyle w:val="EnactingSection"/>
        <w:rPr>
          <w:color w:val="auto"/>
          <w:u w:val="single"/>
        </w:rPr>
      </w:pPr>
      <w:r w:rsidRPr="00AA3BCA">
        <w:rPr>
          <w:color w:val="auto"/>
          <w:u w:val="single"/>
        </w:rPr>
        <w:t>(4) Resume services if the individual remains eligible.</w:t>
      </w:r>
    </w:p>
    <w:p w14:paraId="2F02609C" w14:textId="2A4F81F2" w:rsidR="008104E6" w:rsidRPr="00AA3BCA" w:rsidRDefault="008104E6" w:rsidP="008104E6">
      <w:pPr>
        <w:pStyle w:val="EnactingSection"/>
        <w:rPr>
          <w:color w:val="auto"/>
          <w:u w:val="single"/>
        </w:rPr>
      </w:pPr>
      <w:r w:rsidRPr="00AA3BCA">
        <w:rPr>
          <w:color w:val="auto"/>
          <w:u w:val="single"/>
        </w:rPr>
        <w:lastRenderedPageBreak/>
        <w:t xml:space="preserve">(d) As a condition of continued eligibility for services under </w:t>
      </w:r>
      <w:r w:rsidR="00525A4A">
        <w:rPr>
          <w:color w:val="auto"/>
          <w:u w:val="single"/>
        </w:rPr>
        <w:t xml:space="preserve">subsection </w:t>
      </w:r>
      <w:r w:rsidRPr="00AA3BCA">
        <w:rPr>
          <w:color w:val="auto"/>
          <w:u w:val="single"/>
        </w:rPr>
        <w:t xml:space="preserve">(a) of this </w:t>
      </w:r>
      <w:r w:rsidR="00525A4A">
        <w:rPr>
          <w:color w:val="auto"/>
          <w:u w:val="single"/>
        </w:rPr>
        <w:t>section</w:t>
      </w:r>
      <w:r w:rsidRPr="00AA3BCA">
        <w:rPr>
          <w:color w:val="auto"/>
          <w:u w:val="single"/>
        </w:rPr>
        <w:t xml:space="preserve">, a dependent </w:t>
      </w:r>
      <w:r w:rsidR="00CB7AC6" w:rsidRPr="00AA3BCA">
        <w:rPr>
          <w:color w:val="auto"/>
          <w:u w:val="single"/>
        </w:rPr>
        <w:t>shall</w:t>
      </w:r>
      <w:r w:rsidRPr="00AA3BCA">
        <w:rPr>
          <w:color w:val="auto"/>
          <w:u w:val="single"/>
        </w:rPr>
        <w:t xml:space="preserve"> inform the DHHR of his or her current address and provide updates as requested by the DHHR.</w:t>
      </w:r>
    </w:p>
    <w:p w14:paraId="094100D0" w14:textId="66F3212B" w:rsidR="008104E6" w:rsidRPr="00AA3BCA" w:rsidRDefault="008104E6" w:rsidP="008104E6">
      <w:pPr>
        <w:pStyle w:val="EnactingSection"/>
        <w:rPr>
          <w:color w:val="auto"/>
          <w:u w:val="single"/>
        </w:rPr>
      </w:pPr>
      <w:r w:rsidRPr="00AA3BCA">
        <w:rPr>
          <w:color w:val="auto"/>
          <w:u w:val="single"/>
        </w:rPr>
        <w:t xml:space="preserve">(e) No payment pursuant to this section </w:t>
      </w:r>
      <w:r w:rsidR="00CB7AC6" w:rsidRPr="00AA3BCA">
        <w:rPr>
          <w:color w:val="auto"/>
          <w:u w:val="single"/>
        </w:rPr>
        <w:t>may</w:t>
      </w:r>
      <w:r w:rsidRPr="00AA3BCA">
        <w:rPr>
          <w:color w:val="auto"/>
          <w:u w:val="single"/>
        </w:rPr>
        <w:t xml:space="preserve"> be made for Home and Community Based Services provided outside the </w:t>
      </w:r>
      <w:r w:rsidR="00525A4A">
        <w:rPr>
          <w:color w:val="auto"/>
          <w:u w:val="single"/>
        </w:rPr>
        <w:t>s</w:t>
      </w:r>
      <w:r w:rsidRPr="00AA3BCA">
        <w:rPr>
          <w:color w:val="auto"/>
          <w:u w:val="single"/>
        </w:rPr>
        <w:t>tate of West Virginia.</w:t>
      </w:r>
    </w:p>
    <w:p w14:paraId="1DC8F19F" w14:textId="77777777" w:rsidR="008104E6" w:rsidRPr="00AA3BCA" w:rsidRDefault="008104E6" w:rsidP="008104E6">
      <w:pPr>
        <w:pStyle w:val="EnactingSection"/>
        <w:rPr>
          <w:color w:val="auto"/>
          <w:u w:val="single"/>
        </w:rPr>
      </w:pPr>
      <w:r w:rsidRPr="00AA3BCA">
        <w:rPr>
          <w:color w:val="auto"/>
          <w:u w:val="single"/>
        </w:rPr>
        <w:t>(f) The DHHR shall request a waiver from the appropriate federal agency if a waiver is necessary to implement the provisions of this section.</w:t>
      </w:r>
    </w:p>
    <w:p w14:paraId="40EA343B" w14:textId="77777777" w:rsidR="008104E6" w:rsidRPr="00AA3BCA" w:rsidRDefault="008104E6" w:rsidP="008104E6">
      <w:pPr>
        <w:pStyle w:val="EnactingSection"/>
        <w:rPr>
          <w:color w:val="auto"/>
          <w:u w:val="single"/>
        </w:rPr>
      </w:pPr>
      <w:r w:rsidRPr="00AA3BCA">
        <w:rPr>
          <w:color w:val="auto"/>
          <w:u w:val="single"/>
        </w:rPr>
        <w:t xml:space="preserve">(g) In order to implement the provisions of this section, the DHHR may propose rules for legislative approval in accordance with the provisions </w:t>
      </w:r>
      <w:r w:rsidRPr="00AA3BCA">
        <w:rPr>
          <w:iCs/>
          <w:color w:val="auto"/>
          <w:u w:val="single"/>
        </w:rPr>
        <w:t xml:space="preserve">of </w:t>
      </w:r>
      <w:r w:rsidRPr="00AA3BCA">
        <w:rPr>
          <w:rFonts w:cs="Arial"/>
          <w:color w:val="auto"/>
          <w:u w:val="single"/>
        </w:rPr>
        <w:t>§</w:t>
      </w:r>
      <w:r w:rsidRPr="00AA3BCA">
        <w:rPr>
          <w:color w:val="auto"/>
          <w:u w:val="single"/>
        </w:rPr>
        <w:t xml:space="preserve">29A-3-1 </w:t>
      </w:r>
      <w:r w:rsidRPr="00AA3BCA">
        <w:rPr>
          <w:i/>
          <w:color w:val="auto"/>
          <w:u w:val="single"/>
        </w:rPr>
        <w:t>et seq.</w:t>
      </w:r>
      <w:r w:rsidRPr="00AA3BCA">
        <w:rPr>
          <w:color w:val="auto"/>
          <w:u w:val="single"/>
        </w:rPr>
        <w:t xml:space="preserve"> of this code.</w:t>
      </w:r>
    </w:p>
    <w:p w14:paraId="2A529392" w14:textId="0297BB66" w:rsidR="006865E9" w:rsidRPr="00AA3BCA" w:rsidRDefault="006865E9" w:rsidP="00AE48A0">
      <w:pPr>
        <w:pStyle w:val="Note"/>
        <w:rPr>
          <w:color w:val="auto"/>
        </w:rPr>
      </w:pPr>
    </w:p>
    <w:sectPr w:rsidR="006865E9" w:rsidRPr="00AA3BCA" w:rsidSect="00246F04">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1BB3E" w14:textId="77777777" w:rsidR="00CF1DCA" w:rsidRPr="00B844FE" w:rsidRDefault="00CF1DCA" w:rsidP="00B844FE">
      <w:r>
        <w:separator/>
      </w:r>
    </w:p>
  </w:endnote>
  <w:endnote w:type="continuationSeparator" w:id="0">
    <w:p w14:paraId="3C7EE494"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0700202"/>
      <w:docPartObj>
        <w:docPartGallery w:val="Page Numbers (Bottom of Page)"/>
        <w:docPartUnique/>
      </w:docPartObj>
    </w:sdtPr>
    <w:sdtEndPr/>
    <w:sdtContent>
      <w:p w14:paraId="649BCA69" w14:textId="77777777" w:rsidR="008104E6" w:rsidRPr="00B844FE" w:rsidRDefault="008104E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7B114FB" w14:textId="77777777" w:rsidR="008104E6" w:rsidRDefault="008104E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1294117"/>
      <w:docPartObj>
        <w:docPartGallery w:val="Page Numbers (Bottom of Page)"/>
        <w:docPartUnique/>
      </w:docPartObj>
    </w:sdtPr>
    <w:sdtEndPr>
      <w:rPr>
        <w:noProof/>
      </w:rPr>
    </w:sdtEndPr>
    <w:sdtContent>
      <w:p w14:paraId="6C52616B" w14:textId="77777777" w:rsidR="008104E6" w:rsidRDefault="008104E6"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D8C56C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EA5488"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A49D850" w14:textId="77777777" w:rsidR="002A0269" w:rsidRDefault="00DF199D" w:rsidP="00DF199D">
        <w:pPr>
          <w:pStyle w:val="Footer"/>
          <w:jc w:val="center"/>
        </w:pPr>
        <w:r>
          <w:fldChar w:fldCharType="begin"/>
        </w:r>
        <w:r>
          <w:instrText xml:space="preserve"> PAGE   \* MERGEFORMAT </w:instrText>
        </w:r>
        <w:r>
          <w:fldChar w:fldCharType="separate"/>
        </w:r>
        <w:r w:rsidR="003B308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418BD" w14:textId="77777777" w:rsidR="00CF1DCA" w:rsidRPr="00B844FE" w:rsidRDefault="00CF1DCA" w:rsidP="00B844FE">
      <w:r>
        <w:separator/>
      </w:r>
    </w:p>
  </w:footnote>
  <w:footnote w:type="continuationSeparator" w:id="0">
    <w:p w14:paraId="0CD6CCE0"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48B0C" w14:textId="2D0026FF" w:rsidR="008104E6" w:rsidRPr="00B844FE" w:rsidRDefault="00525A4A">
    <w:pPr>
      <w:pStyle w:val="Header"/>
    </w:pPr>
    <w:sdt>
      <w:sdtPr>
        <w:id w:val="1945418729"/>
        <w:placeholder>
          <w:docPart w:val="4A4FF9DFC25649E9B551B2BD82744BA4"/>
        </w:placeholder>
        <w:temporary/>
        <w:showingPlcHdr/>
        <w15:appearance w15:val="hidden"/>
      </w:sdtPr>
      <w:sdtEndPr/>
      <w:sdtContent>
        <w:r w:rsidRPr="00B844FE">
          <w:t>[Type here]</w:t>
        </w:r>
      </w:sdtContent>
    </w:sdt>
    <w:r w:rsidR="008104E6" w:rsidRPr="00B844FE">
      <w:ptab w:relativeTo="margin" w:alignment="left" w:leader="none"/>
    </w:r>
    <w:sdt>
      <w:sdtPr>
        <w:id w:val="1020985360"/>
        <w:placeholder>
          <w:docPart w:val="4A4FF9DFC25649E9B551B2BD82744BA4"/>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B447" w14:textId="06C070C6" w:rsidR="008104E6" w:rsidRPr="00C33014" w:rsidRDefault="00BB5B4A" w:rsidP="000573A9">
    <w:pPr>
      <w:pStyle w:val="HeaderStyle"/>
    </w:pPr>
    <w:r>
      <w:t>Intr SB</w:t>
    </w:r>
    <w:r w:rsidR="00380968">
      <w:t xml:space="preserve"> </w:t>
    </w:r>
    <w:r w:rsidR="00DE7152">
      <w:t>16</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ABB4E" w14:textId="4CBD6F77" w:rsidR="008104E6" w:rsidRPr="00395397" w:rsidRDefault="00395397" w:rsidP="00395397">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3AA7F" w14:textId="5DD9434C" w:rsidR="002A0269" w:rsidRPr="00B844FE" w:rsidRDefault="00525A4A">
    <w:pPr>
      <w:pStyle w:val="Header"/>
    </w:pPr>
    <w:sdt>
      <w:sdtPr>
        <w:id w:val="-684364211"/>
        <w:placeholder>
          <w:docPart w:val="62DA0222948B4D4AB8D023D904071E32"/>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B7089A9F851E4BAA9B4EA2EBFF2ACCF3"/>
        </w:placeholder>
        <w:temporary/>
        <w:showingPlcHdr/>
        <w15:appearance w15:val="hidden"/>
      </w:sdtPr>
      <w:sdtEndPr/>
      <w:sdtContent>
        <w:r w:rsidR="00FD5B51"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2C51D" w14:textId="51D009F1" w:rsidR="00C33014" w:rsidRPr="00C33014" w:rsidRDefault="00AE48A0" w:rsidP="00C33014">
    <w:pPr>
      <w:pStyle w:val="HeaderStyle"/>
    </w:pPr>
    <w:r>
      <w:t>I</w:t>
    </w:r>
    <w:r w:rsidR="00FB66D5">
      <w:t>ntr</w:t>
    </w:r>
    <w:r w:rsidR="00246F04">
      <w:t xml:space="preserve"> SB</w:t>
    </w:r>
    <w:r w:rsidR="00380968">
      <w:t xml:space="preserve"> </w:t>
    </w:r>
    <w:r w:rsidR="00525A4A">
      <w:t>16</w:t>
    </w:r>
    <w:r w:rsidR="00C33014" w:rsidRPr="002A0269">
      <w:ptab w:relativeTo="margin" w:alignment="center" w:leader="none"/>
    </w:r>
    <w:r w:rsidR="00C33014">
      <w:tab/>
    </w:r>
  </w:p>
  <w:p w14:paraId="12F0B49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DA24E" w14:textId="67A664D3" w:rsidR="002A0269" w:rsidRPr="002A0269" w:rsidRDefault="00246F04" w:rsidP="00B844FE">
    <w:pPr>
      <w:pStyle w:val="HeaderStyle"/>
    </w:pPr>
    <w:r>
      <w:t>Intr SB</w:t>
    </w:r>
    <w:r w:rsidR="00C33014" w:rsidRPr="002A0269">
      <w:ptab w:relativeTo="margin" w:alignment="center" w:leader="none"/>
    </w:r>
    <w:r w:rsidR="00C33014">
      <w:tab/>
    </w:r>
    <w:r w:rsidR="00767AAA">
      <w:rPr>
        <w:rStyle w:val="HeaderStyleChar"/>
      </w:rPr>
      <w:t>20</w:t>
    </w:r>
    <w:r w:rsidR="00D41A17">
      <w:rPr>
        <w:rStyle w:val="HeaderStyleChar"/>
      </w:rPr>
      <w:t>2</w:t>
    </w:r>
    <w:r w:rsidR="00767AAA">
      <w:rPr>
        <w:rStyle w:val="HeaderStyleChar"/>
      </w:rPr>
      <w:t>1</w:t>
    </w:r>
    <w:r w:rsidR="00606B09">
      <w:rPr>
        <w:rStyle w:val="HeaderStyleChar"/>
      </w:rPr>
      <w:t>R11</w:t>
    </w:r>
    <w:r w:rsidR="008104E6">
      <w:rPr>
        <w:rStyle w:val="HeaderStyleChar"/>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75087"/>
    <w:rsid w:val="00085D22"/>
    <w:rsid w:val="000C5C77"/>
    <w:rsid w:val="000E08EC"/>
    <w:rsid w:val="000E3977"/>
    <w:rsid w:val="000E4A33"/>
    <w:rsid w:val="0010070F"/>
    <w:rsid w:val="0015112E"/>
    <w:rsid w:val="001552E7"/>
    <w:rsid w:val="001566B4"/>
    <w:rsid w:val="00163A03"/>
    <w:rsid w:val="001C279E"/>
    <w:rsid w:val="001D459E"/>
    <w:rsid w:val="001F3340"/>
    <w:rsid w:val="002222A8"/>
    <w:rsid w:val="00240F7B"/>
    <w:rsid w:val="00246F04"/>
    <w:rsid w:val="002554A5"/>
    <w:rsid w:val="0027011C"/>
    <w:rsid w:val="00274200"/>
    <w:rsid w:val="00275740"/>
    <w:rsid w:val="0029463C"/>
    <w:rsid w:val="002A0269"/>
    <w:rsid w:val="002D19A7"/>
    <w:rsid w:val="002D36DC"/>
    <w:rsid w:val="00303684"/>
    <w:rsid w:val="003126F9"/>
    <w:rsid w:val="003143F5"/>
    <w:rsid w:val="00314854"/>
    <w:rsid w:val="00326C3E"/>
    <w:rsid w:val="00376607"/>
    <w:rsid w:val="00380968"/>
    <w:rsid w:val="00392732"/>
    <w:rsid w:val="00395397"/>
    <w:rsid w:val="003B3086"/>
    <w:rsid w:val="003C51CD"/>
    <w:rsid w:val="003D3381"/>
    <w:rsid w:val="004106FB"/>
    <w:rsid w:val="004147B9"/>
    <w:rsid w:val="0046403E"/>
    <w:rsid w:val="004A0C52"/>
    <w:rsid w:val="004B3543"/>
    <w:rsid w:val="004C13DD"/>
    <w:rsid w:val="004E3441"/>
    <w:rsid w:val="004F3F19"/>
    <w:rsid w:val="00525A4A"/>
    <w:rsid w:val="00541B86"/>
    <w:rsid w:val="00582F6D"/>
    <w:rsid w:val="00585500"/>
    <w:rsid w:val="00592899"/>
    <w:rsid w:val="005A5366"/>
    <w:rsid w:val="005A5F03"/>
    <w:rsid w:val="005F1AA0"/>
    <w:rsid w:val="00606B09"/>
    <w:rsid w:val="00637E73"/>
    <w:rsid w:val="00663982"/>
    <w:rsid w:val="00667BD4"/>
    <w:rsid w:val="006865E9"/>
    <w:rsid w:val="00691F3E"/>
    <w:rsid w:val="00694BFB"/>
    <w:rsid w:val="006A106B"/>
    <w:rsid w:val="006B6D79"/>
    <w:rsid w:val="006C523D"/>
    <w:rsid w:val="006D4036"/>
    <w:rsid w:val="007041D0"/>
    <w:rsid w:val="00744505"/>
    <w:rsid w:val="007573A5"/>
    <w:rsid w:val="00757FE9"/>
    <w:rsid w:val="00767AAA"/>
    <w:rsid w:val="00795F79"/>
    <w:rsid w:val="007A7081"/>
    <w:rsid w:val="007C7E8A"/>
    <w:rsid w:val="007F1CF5"/>
    <w:rsid w:val="008020B7"/>
    <w:rsid w:val="008104E6"/>
    <w:rsid w:val="00834EDE"/>
    <w:rsid w:val="00857083"/>
    <w:rsid w:val="00872F16"/>
    <w:rsid w:val="008736AA"/>
    <w:rsid w:val="008A6A8A"/>
    <w:rsid w:val="008B19EF"/>
    <w:rsid w:val="008D275D"/>
    <w:rsid w:val="00912D50"/>
    <w:rsid w:val="00937149"/>
    <w:rsid w:val="00980327"/>
    <w:rsid w:val="00991E9F"/>
    <w:rsid w:val="00996133"/>
    <w:rsid w:val="009B03F3"/>
    <w:rsid w:val="009B3B69"/>
    <w:rsid w:val="009E3E13"/>
    <w:rsid w:val="009E578C"/>
    <w:rsid w:val="009F1067"/>
    <w:rsid w:val="00A31E01"/>
    <w:rsid w:val="00A527AD"/>
    <w:rsid w:val="00A718CF"/>
    <w:rsid w:val="00A85E54"/>
    <w:rsid w:val="00A8618D"/>
    <w:rsid w:val="00AA3BCA"/>
    <w:rsid w:val="00AB49A6"/>
    <w:rsid w:val="00AE48A0"/>
    <w:rsid w:val="00AE61BE"/>
    <w:rsid w:val="00B04E1D"/>
    <w:rsid w:val="00B16F25"/>
    <w:rsid w:val="00B235BA"/>
    <w:rsid w:val="00B24422"/>
    <w:rsid w:val="00B4707F"/>
    <w:rsid w:val="00B51D30"/>
    <w:rsid w:val="00B80C20"/>
    <w:rsid w:val="00B844FE"/>
    <w:rsid w:val="00B86B4F"/>
    <w:rsid w:val="00BB5B4A"/>
    <w:rsid w:val="00BC562B"/>
    <w:rsid w:val="00BC603D"/>
    <w:rsid w:val="00BE446B"/>
    <w:rsid w:val="00C33014"/>
    <w:rsid w:val="00C33434"/>
    <w:rsid w:val="00C34869"/>
    <w:rsid w:val="00C42EB6"/>
    <w:rsid w:val="00C85096"/>
    <w:rsid w:val="00CB20EF"/>
    <w:rsid w:val="00CB7AC6"/>
    <w:rsid w:val="00CD12CB"/>
    <w:rsid w:val="00CD36CF"/>
    <w:rsid w:val="00CD7892"/>
    <w:rsid w:val="00CE7447"/>
    <w:rsid w:val="00CF1DCA"/>
    <w:rsid w:val="00D12823"/>
    <w:rsid w:val="00D41A17"/>
    <w:rsid w:val="00D47D20"/>
    <w:rsid w:val="00D55176"/>
    <w:rsid w:val="00D579FC"/>
    <w:rsid w:val="00D81C16"/>
    <w:rsid w:val="00DE526B"/>
    <w:rsid w:val="00DE7152"/>
    <w:rsid w:val="00DF199D"/>
    <w:rsid w:val="00E01542"/>
    <w:rsid w:val="00E04C65"/>
    <w:rsid w:val="00E365F1"/>
    <w:rsid w:val="00E42AB4"/>
    <w:rsid w:val="00E62F48"/>
    <w:rsid w:val="00E831B3"/>
    <w:rsid w:val="00EA3784"/>
    <w:rsid w:val="00EE0986"/>
    <w:rsid w:val="00EE70CB"/>
    <w:rsid w:val="00F14886"/>
    <w:rsid w:val="00F41CA2"/>
    <w:rsid w:val="00F443C0"/>
    <w:rsid w:val="00F55867"/>
    <w:rsid w:val="00F62EFB"/>
    <w:rsid w:val="00F75774"/>
    <w:rsid w:val="00F939A4"/>
    <w:rsid w:val="00FA7B09"/>
    <w:rsid w:val="00FB66D5"/>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F7FE974"/>
  <w15:chartTrackingRefBased/>
  <w15:docId w15:val="{E7764CB0-EDCD-484E-9DEB-FB019081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3126F9"/>
    <w:pPr>
      <w:suppressLineNumbers/>
      <w:ind w:left="1800" w:right="1800"/>
      <w:jc w:val="center"/>
    </w:pPr>
    <w:rPr>
      <w:rFonts w:eastAsia="Calibri"/>
      <w:color w:val="auto"/>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3126F9"/>
    <w:rPr>
      <w:rFonts w:eastAsia="Calibri"/>
      <w:color w:val="auto"/>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8B19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9E3991">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873D3D" w:rsidP="00873D3D">
          <w:pPr>
            <w:pStyle w:val="E1E2AC8F52414CB7A8CAC9336975C0A52"/>
          </w:pPr>
          <w:r w:rsidRPr="00AA3BCA">
            <w:rPr>
              <w:color w:val="auto"/>
            </w:rPr>
            <w:t>Number</w:t>
          </w:r>
        </w:p>
      </w:docPartBody>
    </w:docPart>
    <w:docPart>
      <w:docPartPr>
        <w:name w:val="7B0C0CC38BCA4F26AF5B478B50E7AA5E"/>
        <w:category>
          <w:name w:val="General"/>
          <w:gallery w:val="placeholder"/>
        </w:category>
        <w:types>
          <w:type w:val="bbPlcHdr"/>
        </w:types>
        <w:behaviors>
          <w:behavior w:val="content"/>
        </w:behaviors>
        <w:guid w:val="{A9298771-342B-4BA4-8902-4007CEB8B752}"/>
      </w:docPartPr>
      <w:docPartBody>
        <w:p w:rsidR="004238CA" w:rsidRDefault="00AD56AA" w:rsidP="00AD56AA">
          <w:pPr>
            <w:pStyle w:val="7B0C0CC38BCA4F26AF5B478B50E7AA5E"/>
          </w:pPr>
          <w:r>
            <w:rPr>
              <w:rStyle w:val="PlaceholderText"/>
            </w:rPr>
            <w:t>Enter References</w:t>
          </w:r>
        </w:p>
      </w:docPartBody>
    </w:docPart>
    <w:docPart>
      <w:docPartPr>
        <w:name w:val="62DA0222948B4D4AB8D023D904071E32"/>
        <w:category>
          <w:name w:val="General"/>
          <w:gallery w:val="placeholder"/>
        </w:category>
        <w:types>
          <w:type w:val="bbPlcHdr"/>
        </w:types>
        <w:behaviors>
          <w:behavior w:val="content"/>
        </w:behaviors>
        <w:guid w:val="{38E2EE08-2852-4D00-9974-F71090A34F3C}"/>
      </w:docPartPr>
      <w:docPartBody>
        <w:p w:rsidR="00A15452" w:rsidRDefault="009E3991">
          <w:r w:rsidRPr="00B844FE">
            <w:t>[Type here]</w:t>
          </w:r>
        </w:p>
      </w:docPartBody>
    </w:docPart>
    <w:docPart>
      <w:docPartPr>
        <w:name w:val="B7089A9F851E4BAA9B4EA2EBFF2ACCF3"/>
        <w:category>
          <w:name w:val="General"/>
          <w:gallery w:val="placeholder"/>
        </w:category>
        <w:types>
          <w:type w:val="bbPlcHdr"/>
        </w:types>
        <w:behaviors>
          <w:behavior w:val="content"/>
        </w:behaviors>
        <w:guid w:val="{CC3A607E-266E-4839-A920-720F8309E817}"/>
      </w:docPartPr>
      <w:docPartBody>
        <w:p w:rsidR="00A15452" w:rsidRDefault="009E3991">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1E3D9E"/>
    <w:rsid w:val="002D24DA"/>
    <w:rsid w:val="00357E10"/>
    <w:rsid w:val="003604AA"/>
    <w:rsid w:val="004238CA"/>
    <w:rsid w:val="00483839"/>
    <w:rsid w:val="006610EA"/>
    <w:rsid w:val="00873D3D"/>
    <w:rsid w:val="008E3C95"/>
    <w:rsid w:val="009053E8"/>
    <w:rsid w:val="0093453A"/>
    <w:rsid w:val="009B13B7"/>
    <w:rsid w:val="009E3991"/>
    <w:rsid w:val="00A15452"/>
    <w:rsid w:val="00AD56AA"/>
    <w:rsid w:val="00C41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9E3991"/>
    <w:rPr>
      <w:color w:val="808080"/>
    </w:rPr>
  </w:style>
  <w:style w:type="paragraph" w:customStyle="1" w:styleId="7B0C0CC38BCA4F26AF5B478B50E7AA5E">
    <w:name w:val="7B0C0CC38BCA4F26AF5B478B50E7AA5E"/>
    <w:rsid w:val="00AD56AA"/>
  </w:style>
  <w:style w:type="paragraph" w:customStyle="1" w:styleId="E1E2AC8F52414CB7A8CAC9336975C0A52">
    <w:name w:val="E1E2AC8F52414CB7A8CAC9336975C0A52"/>
    <w:rsid w:val="00873D3D"/>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9DCA-4AD0-4930-8FAC-BE887977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Xris Hess</cp:lastModifiedBy>
  <cp:revision>24</cp:revision>
  <cp:lastPrinted>2018-12-14T16:27:00Z</cp:lastPrinted>
  <dcterms:created xsi:type="dcterms:W3CDTF">2020-12-11T20:31:00Z</dcterms:created>
  <dcterms:modified xsi:type="dcterms:W3CDTF">2021-02-24T14:00:00Z</dcterms:modified>
</cp:coreProperties>
</file>